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numId w:val="0"/>
        </w:numPr>
        <w:spacing w:beforeLines="0" w:afterLines="0"/>
        <w:ind w:leftChars="0"/>
        <w:jc w:val="center"/>
        <w:rPr>
          <w:rFonts w:hint="eastAsia" w:eastAsia="宋体"/>
          <w:sz w:val="24"/>
          <w:lang w:eastAsia="zh-CN"/>
        </w:rPr>
      </w:pPr>
      <w:bookmarkStart w:id="0" w:name="OLE_LINK1"/>
      <w:bookmarkStart w:id="1" w:name="_Toc424898180"/>
      <w:r>
        <w:rPr>
          <w:rFonts w:hint="eastAsia"/>
          <w:sz w:val="24"/>
          <w:lang w:eastAsia="zh-CN"/>
        </w:rPr>
        <w:t>智慧图片管理系统操作说明</w:t>
      </w:r>
      <w:bookmarkEnd w:id="0"/>
    </w:p>
    <w:p>
      <w:pPr>
        <w:pStyle w:val="2"/>
        <w:numPr>
          <w:ilvl w:val="1"/>
          <w:numId w:val="1"/>
        </w:numPr>
        <w:spacing w:beforeLines="0" w:afterLines="0"/>
        <w:rPr>
          <w:rFonts w:hint="default" w:eastAsia="Times New Roman"/>
          <w:sz w:val="24"/>
        </w:rPr>
      </w:pPr>
      <w:r>
        <w:rPr>
          <w:rFonts w:hint="eastAsia"/>
          <w:sz w:val="24"/>
        </w:rPr>
        <w:t>前台信息查询</w:t>
      </w:r>
      <w:bookmarkEnd w:id="1"/>
    </w:p>
    <w:p>
      <w:pPr>
        <w:pStyle w:val="3"/>
        <w:numPr>
          <w:ilvl w:val="2"/>
          <w:numId w:val="1"/>
        </w:numPr>
        <w:spacing w:beforeLines="0" w:afterLines="0"/>
        <w:ind w:left="851" w:hanging="11"/>
        <w:rPr>
          <w:rFonts w:hint="default" w:eastAsia="Times New Roman"/>
          <w:sz w:val="24"/>
        </w:rPr>
      </w:pPr>
      <w:bookmarkStart w:id="2" w:name="_Toc424898181"/>
      <w:r>
        <w:rPr>
          <w:rFonts w:hint="eastAsia"/>
          <w:sz w:val="24"/>
        </w:rPr>
        <w:t>用户登录</w:t>
      </w:r>
      <w:bookmarkEnd w:id="2"/>
    </w:p>
    <w:p>
      <w:pPr>
        <w:pStyle w:val="7"/>
        <w:spacing w:beforeLines="0" w:afterLines="0"/>
        <w:ind w:left="420" w:firstLineChars="0"/>
        <w:rPr>
          <w:rFonts w:hint="eastAsia"/>
          <w:sz w:val="28"/>
        </w:rPr>
      </w:pPr>
      <w:r>
        <w:rPr>
          <w:rFonts w:hint="eastAsia"/>
          <w:sz w:val="28"/>
        </w:rPr>
        <w:t>通过浏览器</w:t>
      </w:r>
      <w:r>
        <w:rPr>
          <w:rFonts w:hint="eastAsia"/>
          <w:sz w:val="28"/>
          <w:lang w:eastAsia="zh-CN"/>
        </w:rPr>
        <w:t>登陆</w:t>
      </w:r>
      <w:r>
        <w:rPr>
          <w:rFonts w:hint="eastAsia"/>
          <w:sz w:val="28"/>
        </w:rPr>
        <w:t>公司申请的</w:t>
      </w:r>
      <w:r>
        <w:rPr>
          <w:rFonts w:hint="eastAsia"/>
          <w:sz w:val="28"/>
          <w:lang w:eastAsia="zh-CN"/>
        </w:rPr>
        <w:t>网站</w:t>
      </w:r>
      <w:r>
        <w:rPr>
          <w:rFonts w:hint="eastAsia"/>
          <w:sz w:val="28"/>
        </w:rPr>
        <w:t>及公网地址</w:t>
      </w:r>
      <w:r>
        <w:rPr>
          <w:rFonts w:hint="eastAsia"/>
          <w:sz w:val="28"/>
          <w:lang w:val="en-US" w:eastAsia="zh-CN"/>
        </w:rPr>
        <w:t>(www.sxlqyy.cn)</w:t>
      </w:r>
      <w:r>
        <w:rPr>
          <w:rFonts w:hint="eastAsia"/>
          <w:sz w:val="28"/>
        </w:rPr>
        <w:t>，</w:t>
      </w:r>
      <w:r>
        <w:rPr>
          <w:rFonts w:hint="eastAsia"/>
          <w:sz w:val="28"/>
          <w:lang w:eastAsia="zh-CN"/>
        </w:rPr>
        <w:t>点击栏目里面的协同平台（如：图</w:t>
      </w:r>
      <w:r>
        <w:rPr>
          <w:rFonts w:hint="eastAsia"/>
          <w:sz w:val="28"/>
          <w:lang w:val="en-US" w:eastAsia="zh-CN"/>
        </w:rPr>
        <w:t>1</w:t>
      </w:r>
      <w:r>
        <w:rPr>
          <w:rFonts w:hint="eastAsia"/>
          <w:sz w:val="28"/>
          <w:lang w:eastAsia="zh-CN"/>
        </w:rPr>
        <w:t>）</w:t>
      </w:r>
      <w:r>
        <w:rPr>
          <w:rFonts w:hint="eastAsia"/>
          <w:sz w:val="28"/>
        </w:rPr>
        <w:t>，打开</w:t>
      </w:r>
      <w:r>
        <w:rPr>
          <w:rFonts w:hint="eastAsia"/>
          <w:sz w:val="28"/>
          <w:lang w:eastAsia="zh-CN"/>
        </w:rPr>
        <w:t>药品图片</w:t>
      </w:r>
      <w:r>
        <w:rPr>
          <w:rFonts w:hint="eastAsia"/>
          <w:sz w:val="28"/>
        </w:rPr>
        <w:t>管理系统平台</w:t>
      </w:r>
      <w:r>
        <w:rPr>
          <w:rFonts w:hint="eastAsia"/>
          <w:sz w:val="28"/>
          <w:lang w:eastAsia="zh-CN"/>
        </w:rPr>
        <w:t>（如：图</w:t>
      </w:r>
      <w:r>
        <w:rPr>
          <w:rFonts w:hint="eastAsia"/>
          <w:sz w:val="28"/>
          <w:lang w:val="en-US" w:eastAsia="zh-CN"/>
        </w:rPr>
        <w:t>2</w:t>
      </w:r>
      <w:r>
        <w:rPr>
          <w:rFonts w:hint="eastAsia"/>
          <w:sz w:val="28"/>
          <w:lang w:eastAsia="zh-CN"/>
        </w:rPr>
        <w:t>）</w:t>
      </w:r>
      <w:r>
        <w:rPr>
          <w:rFonts w:hint="eastAsia"/>
          <w:sz w:val="28"/>
        </w:rPr>
        <w:t>，首先设置浏览器的兼容模式再进行输入用户名，密码，验证码，点击“提交”按钮进行登录。</w:t>
      </w:r>
    </w:p>
    <w:p>
      <w:pPr>
        <w:pStyle w:val="7"/>
        <w:spacing w:beforeLines="0" w:afterLines="0"/>
        <w:ind w:left="420" w:firstLineChars="0"/>
        <w:rPr>
          <w:rFonts w:hint="eastAsia"/>
          <w:sz w:val="28"/>
        </w:rPr>
      </w:pPr>
      <w:r>
        <w:drawing>
          <wp:inline distT="0" distB="0" distL="114300" distR="114300">
            <wp:extent cx="5266690" cy="842645"/>
            <wp:effectExtent l="0" t="0" r="10160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Lines="0" w:afterLines="0"/>
        <w:ind w:left="0" w:leftChars="0" w:firstLine="0" w:firstLineChars="0"/>
        <w:rPr>
          <w:rFonts w:hint="eastAsia" w:eastAsia="宋体"/>
          <w:sz w:val="28"/>
          <w:lang w:eastAsia="zh-CN"/>
        </w:rPr>
      </w:pPr>
      <w:r>
        <w:rPr>
          <w:rFonts w:hint="eastAsia"/>
          <w:sz w:val="28"/>
          <w:lang w:val="en-US" w:eastAsia="zh-CN"/>
        </w:rPr>
        <w:t xml:space="preserve">                              </w:t>
      </w:r>
      <w:r>
        <w:rPr>
          <w:rFonts w:hint="eastAsia"/>
          <w:sz w:val="28"/>
          <w:lang w:eastAsia="zh-CN"/>
        </w:rPr>
        <w:t>（图</w:t>
      </w:r>
      <w:r>
        <w:rPr>
          <w:rFonts w:hint="eastAsia"/>
          <w:sz w:val="28"/>
          <w:lang w:val="en-US" w:eastAsia="zh-CN"/>
        </w:rPr>
        <w:t>1</w:t>
      </w:r>
      <w:r>
        <w:rPr>
          <w:rFonts w:hint="eastAsia"/>
          <w:sz w:val="28"/>
          <w:lang w:eastAsia="zh-CN"/>
        </w:rPr>
        <w:t>）</w:t>
      </w:r>
    </w:p>
    <w:p>
      <w:pPr>
        <w:spacing w:beforeLines="0" w:afterLines="0"/>
        <w:ind w:left="840"/>
        <w:jc w:val="center"/>
        <w:rPr>
          <w:rFonts w:hint="default" w:eastAsia="Times New Roman"/>
          <w:sz w:val="28"/>
        </w:rPr>
      </w:pPr>
      <w:r>
        <w:rPr>
          <w:rFonts w:hint="default" w:eastAsia="Times New Roman"/>
          <w:sz w:val="18"/>
        </w:rPr>
        <w:drawing>
          <wp:inline distT="0" distB="0" distL="114300" distR="114300">
            <wp:extent cx="4907280" cy="2148840"/>
            <wp:effectExtent l="0" t="0" r="762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ind w:left="840"/>
        <w:rPr>
          <w:rFonts w:hint="eastAsia" w:eastAsia="宋体"/>
          <w:sz w:val="28"/>
          <w:lang w:eastAsia="zh-CN"/>
        </w:rPr>
      </w:pPr>
      <w:r>
        <w:rPr>
          <w:rFonts w:hint="eastAsia"/>
          <w:sz w:val="28"/>
          <w:lang w:val="en-US" w:eastAsia="zh-CN"/>
        </w:rPr>
        <w:t xml:space="preserve">                        </w:t>
      </w:r>
      <w:r>
        <w:rPr>
          <w:rFonts w:hint="eastAsia"/>
          <w:sz w:val="28"/>
          <w:lang w:eastAsia="zh-CN"/>
        </w:rPr>
        <w:t>（图</w:t>
      </w:r>
      <w:r>
        <w:rPr>
          <w:rFonts w:hint="eastAsia"/>
          <w:sz w:val="28"/>
          <w:lang w:val="en-US" w:eastAsia="zh-CN"/>
        </w:rPr>
        <w:t>2</w:t>
      </w:r>
      <w:r>
        <w:rPr>
          <w:rFonts w:hint="eastAsia"/>
          <w:sz w:val="28"/>
          <w:lang w:eastAsia="zh-CN"/>
        </w:rPr>
        <w:t>）</w:t>
      </w:r>
    </w:p>
    <w:p>
      <w:pPr>
        <w:spacing w:beforeLines="0" w:afterLines="0"/>
        <w:ind w:left="840"/>
        <w:rPr>
          <w:rFonts w:hint="default" w:eastAsia="Times New Roman"/>
          <w:sz w:val="28"/>
        </w:rPr>
      </w:pPr>
      <w:r>
        <w:rPr>
          <w:rFonts w:hint="eastAsia"/>
          <w:sz w:val="28"/>
        </w:rPr>
        <w:t>登录成功后显示界面如图：</w:t>
      </w:r>
    </w:p>
    <w:p>
      <w:pPr>
        <w:spacing w:beforeLines="0" w:afterLines="0"/>
        <w:ind w:left="840"/>
        <w:rPr>
          <w:rFonts w:hint="default" w:eastAsia="Times New Roman"/>
          <w:sz w:val="28"/>
        </w:rPr>
      </w:pPr>
      <w:r>
        <w:rPr>
          <w:rFonts w:hint="eastAsia"/>
          <w:sz w:val="28"/>
        </w:rPr>
        <w:t>功能主要分为：</w:t>
      </w:r>
      <w:r>
        <w:rPr>
          <w:rFonts w:hint="eastAsia"/>
          <w:color w:val="FF0000"/>
          <w:sz w:val="28"/>
        </w:rPr>
        <w:t>按商品名称查询，按开票单号查询，按出库单号查询，按商品批件查询，个人信息维护，关于我们</w:t>
      </w:r>
      <w:r>
        <w:rPr>
          <w:rFonts w:hint="eastAsia"/>
          <w:sz w:val="28"/>
        </w:rPr>
        <w:t>：</w:t>
      </w:r>
    </w:p>
    <w:p>
      <w:pPr>
        <w:spacing w:beforeLines="0" w:afterLines="0"/>
        <w:ind w:left="840"/>
        <w:jc w:val="center"/>
        <w:rPr>
          <w:rFonts w:hint="default" w:eastAsia="Times New Roman"/>
          <w:sz w:val="28"/>
        </w:rPr>
      </w:pPr>
      <w:r>
        <w:rPr>
          <w:rFonts w:hint="default" w:eastAsia="Times New Roman"/>
          <w:sz w:val="18"/>
        </w:rPr>
        <w:drawing>
          <wp:inline distT="0" distB="0" distL="114300" distR="114300">
            <wp:extent cx="5412740" cy="1915795"/>
            <wp:effectExtent l="0" t="0" r="16510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"/>
          <w:numId w:val="1"/>
        </w:numPr>
        <w:spacing w:beforeLines="0" w:afterLines="0"/>
        <w:ind w:left="426" w:hanging="11"/>
        <w:rPr>
          <w:rFonts w:hint="default" w:eastAsia="Times New Roman"/>
          <w:sz w:val="24"/>
        </w:rPr>
      </w:pPr>
      <w:bookmarkStart w:id="3" w:name="_Toc424898182"/>
      <w:r>
        <w:rPr>
          <w:rFonts w:hint="eastAsia"/>
          <w:sz w:val="24"/>
        </w:rPr>
        <w:t>药检报告查询</w:t>
      </w:r>
      <w:bookmarkEnd w:id="3"/>
    </w:p>
    <w:p>
      <w:pPr>
        <w:spacing w:beforeLines="0" w:afterLines="0"/>
        <w:ind w:left="567" w:firstLine="423" w:firstLineChars="151"/>
        <w:rPr>
          <w:rFonts w:hint="default" w:eastAsia="Times New Roman"/>
          <w:sz w:val="28"/>
        </w:rPr>
      </w:pPr>
      <w:r>
        <w:rPr>
          <w:rFonts w:hint="eastAsia"/>
          <w:sz w:val="28"/>
        </w:rPr>
        <w:t>操作人员，可以通过企业分配给客户的账号及密码登录系统后，可以通过功能列表不同的方式进行检索药检信息，点击右面对应的查询，显示所查询的相关药检信息列表。</w:t>
      </w:r>
    </w:p>
    <w:p>
      <w:pPr>
        <w:spacing w:beforeLines="0" w:afterLines="0"/>
        <w:rPr>
          <w:rFonts w:hint="default" w:eastAsia="Times New Roman"/>
          <w:sz w:val="28"/>
        </w:rPr>
      </w:pPr>
      <w:r>
        <w:rPr>
          <w:rFonts w:hint="default"/>
          <w:sz w:val="18"/>
        </w:rPr>
        <w:t xml:space="preserve"> </w:t>
      </w:r>
    </w:p>
    <w:p>
      <w:pPr>
        <w:pStyle w:val="3"/>
        <w:numPr>
          <w:ilvl w:val="2"/>
          <w:numId w:val="1"/>
        </w:numPr>
        <w:spacing w:beforeLines="0" w:afterLines="0"/>
        <w:ind w:hanging="136"/>
        <w:rPr>
          <w:rFonts w:hint="default" w:eastAsia="Times New Roman"/>
          <w:sz w:val="24"/>
        </w:rPr>
      </w:pPr>
      <w:bookmarkStart w:id="4" w:name="_Toc424898183"/>
      <w:r>
        <w:rPr>
          <w:rFonts w:hint="eastAsia"/>
          <w:sz w:val="24"/>
        </w:rPr>
        <w:t>药检报告可以通过不同的条件进行查询</w:t>
      </w:r>
      <w:bookmarkEnd w:id="4"/>
    </w:p>
    <w:p>
      <w:pPr>
        <w:pStyle w:val="7"/>
        <w:spacing w:beforeLines="0" w:afterLines="0"/>
        <w:ind w:firstLine="0" w:firstLineChars="0"/>
        <w:rPr>
          <w:rFonts w:hint="default" w:eastAsia="Times New Roman"/>
          <w:sz w:val="28"/>
        </w:rPr>
      </w:pPr>
      <w:r>
        <w:rPr>
          <w:rFonts w:hint="eastAsia"/>
          <w:sz w:val="28"/>
        </w:rPr>
        <w:t>在查询的最上方可以通过填写相应的条件进行多条件筛选，如：</w:t>
      </w:r>
      <w:r>
        <w:rPr>
          <w:rFonts w:hint="eastAsia"/>
          <w:color w:val="FF0000"/>
          <w:sz w:val="28"/>
        </w:rPr>
        <w:t>开始日期，结束日期，商品编号，助记码，开票单号，出库单号，批号</w:t>
      </w:r>
      <w:r>
        <w:rPr>
          <w:rFonts w:hint="eastAsia"/>
          <w:sz w:val="28"/>
        </w:rPr>
        <w:t>等相关信息进行过滤筛选。</w:t>
      </w:r>
    </w:p>
    <w:p>
      <w:pPr>
        <w:spacing w:beforeLines="0" w:afterLines="0"/>
        <w:jc w:val="center"/>
        <w:rPr>
          <w:rFonts w:hint="default" w:eastAsia="Times New Roman"/>
          <w:sz w:val="28"/>
        </w:rPr>
      </w:pPr>
      <w:r>
        <w:rPr>
          <w:rFonts w:hint="default" w:eastAsia="Times New Roman"/>
          <w:sz w:val="18"/>
        </w:rPr>
        <w:drawing>
          <wp:inline distT="0" distB="0" distL="114300" distR="114300">
            <wp:extent cx="5542915" cy="1539875"/>
            <wp:effectExtent l="0" t="0" r="635" b="317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"/>
          <w:numId w:val="1"/>
        </w:numPr>
        <w:spacing w:beforeLines="0" w:afterLines="0"/>
        <w:ind w:left="284" w:hanging="11"/>
        <w:rPr>
          <w:rFonts w:hint="default" w:eastAsia="Times New Roman"/>
          <w:sz w:val="24"/>
        </w:rPr>
      </w:pPr>
      <w:bookmarkStart w:id="5" w:name="_Toc424898184"/>
      <w:r>
        <w:rPr>
          <w:rFonts w:hint="eastAsia"/>
          <w:sz w:val="24"/>
        </w:rPr>
        <w:t>药检报告查看</w:t>
      </w:r>
      <w:bookmarkEnd w:id="5"/>
    </w:p>
    <w:p>
      <w:pPr>
        <w:pStyle w:val="7"/>
        <w:spacing w:beforeLines="0" w:afterLines="0"/>
        <w:ind w:left="284" w:firstLine="14" w:firstLineChars="5"/>
        <w:rPr>
          <w:rFonts w:hint="default" w:eastAsia="Times New Roman"/>
          <w:sz w:val="28"/>
        </w:rPr>
      </w:pPr>
      <w:r>
        <w:rPr>
          <w:rFonts w:hint="eastAsia"/>
          <w:sz w:val="28"/>
        </w:rPr>
        <w:t>点击右侧列表中的商品名称，可以显示出药检报告详情信息，也可进行打印药检。</w:t>
      </w:r>
    </w:p>
    <w:p>
      <w:pPr>
        <w:spacing w:beforeLines="0" w:afterLines="0"/>
        <w:jc w:val="center"/>
        <w:rPr>
          <w:rFonts w:hint="default" w:eastAsia="Times New Roman"/>
          <w:sz w:val="28"/>
        </w:rPr>
      </w:pPr>
      <w:r>
        <w:rPr>
          <w:rFonts w:hint="default" w:eastAsia="Times New Roman"/>
          <w:sz w:val="18"/>
        </w:rPr>
        <w:drawing>
          <wp:inline distT="0" distB="0" distL="114300" distR="114300">
            <wp:extent cx="5884545" cy="2940050"/>
            <wp:effectExtent l="0" t="0" r="1905" b="1270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"/>
          <w:numId w:val="1"/>
        </w:numPr>
        <w:spacing w:beforeLines="0" w:afterLines="0"/>
        <w:ind w:left="426" w:hanging="142"/>
        <w:rPr>
          <w:rFonts w:hint="default" w:eastAsia="Times New Roman"/>
          <w:sz w:val="24"/>
        </w:rPr>
      </w:pPr>
      <w:bookmarkStart w:id="6" w:name="_Toc424898185"/>
      <w:r>
        <w:rPr>
          <w:rFonts w:hint="eastAsia"/>
          <w:sz w:val="24"/>
        </w:rPr>
        <w:t>药检报告下载</w:t>
      </w:r>
      <w:bookmarkEnd w:id="6"/>
    </w:p>
    <w:p>
      <w:pPr>
        <w:pStyle w:val="7"/>
        <w:spacing w:beforeLines="0" w:afterLines="0"/>
        <w:ind w:left="420" w:firstLine="0" w:firstLineChars="0"/>
        <w:rPr>
          <w:rFonts w:hint="default" w:eastAsia="Times New Roman"/>
          <w:sz w:val="28"/>
        </w:rPr>
      </w:pPr>
      <w:r>
        <w:rPr>
          <w:rFonts w:hint="eastAsia"/>
          <w:sz w:val="28"/>
        </w:rPr>
        <w:t>在商品列表界面通过单选或多选，选择需要下载的药检报告，点击下载按钮即可开始下载，下载过程中提示保存，进行指定保存路径即可。</w:t>
      </w:r>
    </w:p>
    <w:p>
      <w:pPr>
        <w:spacing w:beforeLines="0" w:afterLines="0"/>
        <w:jc w:val="center"/>
        <w:rPr>
          <w:rFonts w:hint="default" w:eastAsia="Times New Roman"/>
          <w:sz w:val="28"/>
        </w:rPr>
      </w:pPr>
      <w:r>
        <w:rPr>
          <w:rFonts w:hint="default" w:eastAsia="Times New Roman"/>
          <w:sz w:val="18"/>
        </w:rPr>
        <w:drawing>
          <wp:inline distT="0" distB="0" distL="114300" distR="114300">
            <wp:extent cx="6017895" cy="2436495"/>
            <wp:effectExtent l="0" t="0" r="1905" b="19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7895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"/>
          <w:numId w:val="1"/>
        </w:numPr>
        <w:spacing w:beforeLines="0" w:afterLines="0"/>
        <w:ind w:left="426" w:hanging="11"/>
        <w:rPr>
          <w:rFonts w:hint="default" w:eastAsia="Times New Roman"/>
          <w:sz w:val="24"/>
        </w:rPr>
      </w:pPr>
      <w:bookmarkStart w:id="7" w:name="_Toc424898186"/>
      <w:r>
        <w:rPr>
          <w:rFonts w:hint="eastAsia"/>
          <w:sz w:val="24"/>
        </w:rPr>
        <w:t>药检报告打印</w:t>
      </w:r>
      <w:bookmarkEnd w:id="7"/>
    </w:p>
    <w:p>
      <w:pPr>
        <w:pStyle w:val="7"/>
        <w:spacing w:beforeLines="0" w:afterLines="0"/>
        <w:ind w:left="420" w:firstLine="0" w:firstLineChars="0"/>
        <w:rPr>
          <w:rFonts w:hint="default" w:eastAsia="Times New Roman"/>
          <w:sz w:val="28"/>
        </w:rPr>
      </w:pPr>
      <w:r>
        <w:rPr>
          <w:rFonts w:hint="eastAsia"/>
          <w:sz w:val="28"/>
        </w:rPr>
        <w:t>在商品列表界面通过单选或多选，选择需要打印的药检报告，点击打印按钮即可进入药检报告详情页面，点击打印后会将显示出的一张或多张图片进行打印。</w:t>
      </w:r>
    </w:p>
    <w:p>
      <w:pPr>
        <w:spacing w:beforeLines="0" w:afterLines="0"/>
        <w:rPr>
          <w:rFonts w:hint="default" w:eastAsia="Times New Roman"/>
          <w:sz w:val="28"/>
        </w:rPr>
      </w:pPr>
      <w:r>
        <w:rPr>
          <w:rFonts w:hint="default" w:eastAsia="Times New Roman"/>
          <w:sz w:val="18"/>
        </w:rPr>
        <w:drawing>
          <wp:inline distT="0" distB="0" distL="114300" distR="114300">
            <wp:extent cx="6021070" cy="1865630"/>
            <wp:effectExtent l="0" t="0" r="17780" b="127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default" w:eastAsia="Times New Roman"/>
          <w:sz w:val="28"/>
        </w:rPr>
      </w:pPr>
      <w:r>
        <w:rPr>
          <w:rFonts w:hint="default" w:eastAsia="Times New Roman"/>
          <w:sz w:val="18"/>
        </w:rPr>
        <w:drawing>
          <wp:inline distT="0" distB="0" distL="114300" distR="114300">
            <wp:extent cx="5884545" cy="2940050"/>
            <wp:effectExtent l="0" t="0" r="1905" b="1270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"/>
          <w:numId w:val="1"/>
        </w:numPr>
        <w:spacing w:beforeLines="0" w:afterLines="0"/>
        <w:ind w:left="567" w:firstLine="0"/>
        <w:jc w:val="left"/>
        <w:rPr>
          <w:rFonts w:hint="default" w:eastAsia="Times New Roman"/>
          <w:sz w:val="32"/>
        </w:rPr>
      </w:pPr>
      <w:bookmarkStart w:id="8" w:name="_Toc424898187"/>
      <w:r>
        <w:rPr>
          <w:rFonts w:hint="eastAsia"/>
          <w:sz w:val="24"/>
        </w:rPr>
        <w:t>商品批件查询</w:t>
      </w:r>
      <w:r>
        <w:rPr>
          <w:rFonts w:hint="default" w:eastAsia="Times New Roman"/>
          <w:sz w:val="24"/>
        </w:rPr>
        <w:br w:type="textWrapping"/>
      </w:r>
      <w:r>
        <w:rPr>
          <w:rFonts w:hint="eastAsia"/>
          <w:b w:val="0"/>
          <w:sz w:val="28"/>
        </w:rPr>
        <w:t>此功能重点管理商品的注册批件相关文件的下载，打印功能。</w:t>
      </w:r>
      <w:r>
        <w:rPr>
          <w:rFonts w:hint="default" w:eastAsia="Times New Roman"/>
          <w:sz w:val="32"/>
        </w:rPr>
        <w:br w:type="textWrapping"/>
      </w:r>
      <w:bookmarkEnd w:id="8"/>
      <w:r>
        <w:rPr>
          <w:rFonts w:hint="default" w:eastAsia="Times New Roman"/>
          <w:sz w:val="32"/>
        </w:rPr>
        <w:drawing>
          <wp:inline distT="0" distB="0" distL="114300" distR="114300">
            <wp:extent cx="5576570" cy="1894205"/>
            <wp:effectExtent l="0" t="0" r="5080" b="1079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"/>
          <w:numId w:val="1"/>
        </w:numPr>
        <w:spacing w:beforeLines="0" w:afterLines="0"/>
        <w:ind w:left="567" w:firstLine="0"/>
        <w:rPr>
          <w:rFonts w:hint="default" w:eastAsia="Times New Roman"/>
          <w:sz w:val="24"/>
        </w:rPr>
      </w:pPr>
      <w:bookmarkStart w:id="9" w:name="_Toc424898188"/>
      <w:r>
        <w:rPr>
          <w:rFonts w:hint="eastAsia"/>
          <w:sz w:val="24"/>
        </w:rPr>
        <w:t>个人信息维护</w:t>
      </w:r>
    </w:p>
    <w:p>
      <w:pPr>
        <w:pStyle w:val="3"/>
        <w:spacing w:beforeLines="0" w:afterLines="0"/>
        <w:ind w:left="567"/>
        <w:rPr>
          <w:rFonts w:hint="default" w:eastAsia="Times New Roman"/>
          <w:sz w:val="32"/>
        </w:rPr>
      </w:pPr>
      <w:r>
        <w:rPr>
          <w:rFonts w:hint="eastAsia"/>
          <w:b w:val="0"/>
          <w:sz w:val="28"/>
        </w:rPr>
        <w:t>个人信息维护，主要是管理客户修改登录用户所对应的密码。</w:t>
      </w:r>
      <w:r>
        <w:rPr>
          <w:rFonts w:hint="default" w:eastAsia="Times New Roman"/>
          <w:sz w:val="32"/>
        </w:rPr>
        <w:br w:type="textWrapping"/>
      </w:r>
      <w:r>
        <w:rPr>
          <w:rFonts w:hint="default" w:eastAsia="Times New Roman"/>
          <w:sz w:val="32"/>
        </w:rPr>
        <w:drawing>
          <wp:inline distT="0" distB="0" distL="114300" distR="114300">
            <wp:extent cx="5606415" cy="2510155"/>
            <wp:effectExtent l="0" t="0" r="13335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default" w:eastAsia="Times New Roman"/>
          <w:sz w:val="18"/>
        </w:rPr>
      </w:pPr>
    </w:p>
    <w:p>
      <w:pPr>
        <w:pStyle w:val="3"/>
        <w:numPr>
          <w:ilvl w:val="2"/>
          <w:numId w:val="1"/>
        </w:numPr>
        <w:spacing w:beforeLines="0" w:afterLines="0"/>
        <w:ind w:left="567" w:firstLine="0"/>
        <w:rPr>
          <w:rFonts w:hint="default" w:eastAsia="Times New Roman"/>
          <w:sz w:val="24"/>
        </w:rPr>
      </w:pPr>
      <w:r>
        <w:rPr>
          <w:rFonts w:hint="eastAsia"/>
          <w:sz w:val="24"/>
        </w:rPr>
        <w:t>企业相关下载</w:t>
      </w:r>
    </w:p>
    <w:p>
      <w:pPr>
        <w:spacing w:beforeLines="0" w:afterLines="0"/>
        <w:ind w:firstLine="280" w:firstLineChars="100"/>
        <w:rPr>
          <w:rFonts w:hint="default" w:eastAsia="Times New Roman"/>
          <w:sz w:val="28"/>
        </w:rPr>
      </w:pPr>
      <w:r>
        <w:rPr>
          <w:rFonts w:hint="default"/>
          <w:sz w:val="28"/>
        </w:rPr>
        <w:t>1.</w:t>
      </w:r>
      <w:r>
        <w:rPr>
          <w:rFonts w:hint="eastAsia"/>
          <w:sz w:val="28"/>
        </w:rPr>
        <w:t>进入企业后台，企业资质信息维护；把企业资质相关资料压缩成</w:t>
      </w:r>
      <w:r>
        <w:rPr>
          <w:rFonts w:hint="default"/>
          <w:sz w:val="28"/>
        </w:rPr>
        <w:t>zip</w:t>
      </w:r>
      <w:r>
        <w:rPr>
          <w:rFonts w:hint="eastAsia"/>
          <w:sz w:val="28"/>
        </w:rPr>
        <w:t>或</w:t>
      </w:r>
      <w:r>
        <w:rPr>
          <w:rFonts w:hint="default"/>
          <w:sz w:val="28"/>
        </w:rPr>
        <w:t>rar</w:t>
      </w:r>
      <w:r>
        <w:rPr>
          <w:rFonts w:hint="eastAsia"/>
          <w:sz w:val="28"/>
        </w:rPr>
        <w:t>格式的文件进行提交。</w:t>
      </w:r>
    </w:p>
    <w:p>
      <w:pPr>
        <w:spacing w:beforeLines="0" w:afterLines="0"/>
        <w:ind w:firstLine="280" w:firstLineChars="100"/>
        <w:rPr>
          <w:rFonts w:hint="default" w:eastAsia="Times New Roman"/>
          <w:sz w:val="28"/>
        </w:rPr>
      </w:pPr>
      <w:r>
        <w:rPr>
          <w:rFonts w:hint="default"/>
          <w:sz w:val="28"/>
        </w:rPr>
        <w:t>2.</w:t>
      </w:r>
      <w:r>
        <w:rPr>
          <w:rFonts w:hint="eastAsia"/>
          <w:sz w:val="28"/>
        </w:rPr>
        <w:t>用户进入登录页面，点企业相关下载；即可对上传资质文件进行下载查看。</w:t>
      </w:r>
    </w:p>
    <w:p>
      <w:pPr>
        <w:spacing w:beforeLines="0" w:afterLines="0"/>
        <w:rPr>
          <w:rFonts w:hint="default" w:eastAsia="Times New Roman"/>
          <w:sz w:val="18"/>
        </w:rPr>
      </w:pPr>
    </w:p>
    <w:p>
      <w:pPr>
        <w:pStyle w:val="3"/>
        <w:spacing w:beforeLines="0" w:afterLines="0"/>
        <w:ind w:left="567"/>
        <w:rPr>
          <w:rFonts w:hint="default" w:eastAsia="Times New Roman"/>
          <w:sz w:val="32"/>
        </w:rPr>
      </w:pPr>
      <w:r>
        <w:rPr>
          <w:rFonts w:hint="default" w:eastAsia="Times New Roman"/>
          <w:sz w:val="32"/>
        </w:rPr>
        <w:drawing>
          <wp:inline distT="0" distB="0" distL="114300" distR="114300">
            <wp:extent cx="4775835" cy="2028825"/>
            <wp:effectExtent l="0" t="0" r="5715" b="952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Times New Roman"/>
          <w:sz w:val="32"/>
        </w:rPr>
        <w:br w:type="textWrapping"/>
      </w:r>
      <w:bookmarkEnd w:id="9"/>
    </w:p>
    <w:p>
      <w:bookmarkStart w:id="10" w:name="_GoBack"/>
      <w:bookmarkEnd w:id="1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altName w:val="宋体"/>
    <w:panose1 w:val="00000000000000000000"/>
    <w:charset w:val="86"/>
    <w:family w:val="swiss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A3F1B"/>
    <w:multiLevelType w:val="multilevel"/>
    <w:tmpl w:val="0B0A3F1B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 w:ascii="Times New Roman"/>
        <w:u w:val="none" w:color="auto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rFonts w:hint="default" w:ascii="Times New Roman"/>
        <w:u w:val="none" w:color="auto"/>
      </w:r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default" w:ascii="Times New Roman"/>
        <w:u w:val="none" w:color="auto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default" w:ascii="Times New Roman"/>
        <w:u w:val="none" w:color="auto"/>
      </w:rPr>
    </w:lvl>
    <w:lvl w:ilvl="4" w:tentative="0">
      <w:start w:val="1"/>
      <w:numFmt w:val="decimal"/>
      <w:lvlText w:val=""/>
      <w:lvlJc w:val="left"/>
      <w:pPr>
        <w:tabs>
          <w:tab w:val="left" w:pos="992"/>
        </w:tabs>
        <w:ind w:left="992" w:hanging="992"/>
      </w:pPr>
      <w:rPr>
        <w:rFonts w:hint="default" w:ascii="Times New Roman"/>
        <w:u w:val="none" w:color="auto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default" w:ascii="Times New Roman"/>
        <w:u w:val="none" w:color="auto"/>
      </w:rPr>
    </w:lvl>
    <w:lvl w:ilvl="6" w:tentative="0">
      <w:start w:val="1"/>
      <w:numFmt w:val="decimal"/>
      <w:lvlText w:val="%1.%2.%3.%4.%5.%6._x0006_."/>
      <w:lvlJc w:val="left"/>
      <w:pPr>
        <w:tabs>
          <w:tab w:val="left" w:pos="1276"/>
        </w:tabs>
        <w:ind w:left="1276" w:hanging="1276"/>
      </w:pPr>
      <w:rPr>
        <w:rFonts w:hint="default" w:ascii="Times New Roman"/>
        <w:u w:val="none" w:color="auto"/>
      </w:rPr>
    </w:lvl>
    <w:lvl w:ilvl="7" w:tentative="0">
      <w:start w:val="1"/>
      <w:numFmt w:val="decimal"/>
      <w:lvlText w:val="%1.%2.%3.%4.%5.%6._x0006_.%8."/>
      <w:lvlJc w:val="left"/>
      <w:pPr>
        <w:tabs>
          <w:tab w:val="left" w:pos="1418"/>
        </w:tabs>
        <w:ind w:left="1418" w:hanging="1418"/>
      </w:pPr>
      <w:rPr>
        <w:rFonts w:hint="default" w:ascii="Times New Roman"/>
        <w:u w:val="none" w:color="auto"/>
      </w:rPr>
    </w:lvl>
    <w:lvl w:ilvl="8" w:tentative="0">
      <w:start w:val="1"/>
      <w:numFmt w:val="decimal"/>
      <w:lvlText w:val="%1.%2.%3.%4.%5.%6._x0006_.%8.%9."/>
      <w:lvlJc w:val="left"/>
      <w:pPr>
        <w:tabs>
          <w:tab w:val="left" w:pos="1559"/>
        </w:tabs>
        <w:ind w:left="1559" w:hanging="1559"/>
      </w:pPr>
      <w:rPr>
        <w:rFonts w:hint="default" w:ascii="Times New Roman"/>
        <w:u w:val="none" w:color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303A48"/>
    <w:rsid w:val="1C526BF1"/>
    <w:rsid w:val="21303A4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Lines="0" w:afterLines="0"/>
      <w:jc w:val="both"/>
    </w:pPr>
    <w:rPr>
      <w:rFonts w:hint="eastAsia" w:ascii="Calibri" w:hAnsi="Calibri" w:eastAsia="宋体"/>
      <w:kern w:val="2"/>
      <w:sz w:val="18"/>
      <w:szCs w:val="22"/>
      <w:lang w:val="en-US" w:eastAsia="zh-CN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hint="eastAsia" w:ascii="Cambria" w:hAnsi="Cambria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after="260" w:afterLines="0" w:line="416" w:lineRule="auto"/>
      <w:outlineLvl w:val="2"/>
    </w:pPr>
    <w:rPr>
      <w:rFonts w:hint="eastAsia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after="290" w:afterLines="0" w:line="376" w:lineRule="auto"/>
      <w:outlineLvl w:val="3"/>
    </w:pPr>
    <w:rPr>
      <w:rFonts w:hint="eastAsia" w:ascii="Cambria" w:hAnsi="Cambria"/>
      <w:b/>
      <w:sz w:val="28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List Paragraph"/>
    <w:basedOn w:val="1"/>
    <w:unhideWhenUsed/>
    <w:qFormat/>
    <w:uiPriority w:val="99"/>
    <w:pPr>
      <w:spacing w:beforeLines="0" w:afterLines="0"/>
      <w:ind w:firstLine="420" w:firstLineChars="200"/>
    </w:pPr>
    <w:rPr>
      <w:rFonts w:hint="eastAsia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2016-12-22T07:50:00Z</dcterms:created>
  <dc:creator>Administrator</dc:creator>
  <cp:lastModifiedBy>Administrator</cp:lastModifiedBy>
  <dcterms:modified xsi:type="dcterms:W3CDTF">2016-12-22T07:59:18Z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